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411862</w:t>
      </w:r>
      <w:bookmarkStart w:id="5" w:name="_GoBack"/>
      <w:bookmarkEnd w:id="5"/>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UE RF requirements for NR NTN phase3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8.25.2.1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Non-Terrestrial Networks (NTN) for NR Phase 3</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from RedCap</w:t>
      </w:r>
      <w:r>
        <w:rPr>
          <w:rFonts w:hint="eastAsia"/>
          <w:i w:val="0"/>
          <w:iCs w:val="0"/>
          <w:sz w:val="20"/>
          <w:szCs w:val="20"/>
          <w:lang w:val="en-US" w:eastAsia="zh-CN"/>
        </w:rPr>
        <w:t xml:space="preserve"> UE RF</w:t>
      </w:r>
      <w:r>
        <w:rPr>
          <w:rFonts w:hint="default"/>
          <w:i w:val="0"/>
          <w:iCs w:val="0"/>
          <w:sz w:val="20"/>
          <w:szCs w:val="20"/>
          <w:lang w:val="en-US" w:eastAsia="zh-CN"/>
        </w:rPr>
        <w:t xml:space="preserve"> perspective.</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0"/>
              </w:numPr>
              <w:overflowPunct w:val="0"/>
              <w:autoSpaceDE w:val="0"/>
              <w:autoSpaceDN w:val="0"/>
              <w:adjustRightInd w:val="0"/>
              <w:spacing w:after="0" w:line="276" w:lineRule="auto"/>
              <w:ind w:leftChars="0"/>
              <w:textAlignment w:val="baseline"/>
              <w:rPr>
                <w:rFonts w:eastAsia="Malgun Gothic"/>
                <w:lang w:val="en-US" w:eastAsia="ko-KR"/>
              </w:rPr>
            </w:pPr>
            <w:r>
              <w:rPr>
                <w:rFonts w:eastAsia="Malgun Gothic"/>
                <w:lang w:val="en-US" w:eastAsia="ko-KR"/>
              </w:rPr>
              <w:t>Support of Rel-17 RedCap and Rel-18 eRedCap UEs with NR NTN operating in FR1-NTN bands [RAN4, RAN1]</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full-duplex FDD RedCap and eRedCap UEs,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HD-FDD RedCap UEs and eRedCap UEs, check whether any essential changes are needed for their support (i.e. focusing on HD collision rules) by end of Q2/2024 [RAN1]</w:t>
            </w:r>
          </w:p>
          <w:p>
            <w:pPr>
              <w:pStyle w:val="34"/>
              <w:widowControl w:val="0"/>
              <w:numPr>
                <w:ilvl w:val="1"/>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Depending on feasibility assessment above,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Notes for this objective:</w:t>
            </w:r>
          </w:p>
          <w:p>
            <w:pPr>
              <w:pStyle w:val="34"/>
              <w:widowControl w:val="0"/>
              <w:numPr>
                <w:ilvl w:val="1"/>
                <w:numId w:val="8"/>
              </w:numPr>
              <w:overflowPunct w:val="0"/>
              <w:autoSpaceDE w:val="0"/>
              <w:autoSpaceDN w:val="0"/>
              <w:adjustRightInd w:val="0"/>
              <w:spacing w:after="0"/>
              <w:jc w:val="both"/>
              <w:textAlignment w:val="baseline"/>
              <w:rPr>
                <w:rFonts w:hint="default" w:eastAsia="宋体"/>
                <w:i w:val="0"/>
                <w:iCs w:val="0"/>
                <w:sz w:val="20"/>
                <w:szCs w:val="20"/>
                <w:vertAlign w:val="baseline"/>
                <w:lang w:val="en-US" w:eastAsia="zh-CN"/>
              </w:rPr>
            </w:pPr>
            <w:r>
              <w:rPr>
                <w:rFonts w:ascii="Times New Roman" w:hAnsi="Times New Roman"/>
                <w:sz w:val="20"/>
                <w:szCs w:val="20"/>
              </w:rPr>
              <w:t>GNSS (Global Navigation Satellite Systems) capabilities and simultaneous GNSS and NR-NTN operation is supported in RedCap/eRedCap UE.</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numPr>
          <w:ilvl w:val="1"/>
          <w:numId w:val="0"/>
        </w:numPr>
        <w:bidi w:val="0"/>
        <w:ind w:leftChars="0" w:right="0" w:rightChars="0"/>
      </w:pPr>
      <w:r>
        <w:rPr>
          <w:rFonts w:hint="eastAsia"/>
          <w:lang w:val="en-US" w:eastAsia="zh-CN"/>
        </w:rPr>
        <w:t xml:space="preserve">2.1 HD-FDD </w:t>
      </w:r>
      <w:r>
        <w:t>refsens for 2 Rx</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lang w:eastAsia="zh-CN"/>
              </w:rPr>
            </w:pPr>
            <w:r>
              <w:t>Issue 1-2: HD-FDD refsens for 2 Rx</w:t>
            </w:r>
          </w:p>
          <w:p>
            <w:pPr>
              <w:overflowPunct w:val="0"/>
              <w:autoSpaceDE w:val="0"/>
              <w:autoSpaceDN w:val="0"/>
              <w:adjustRightInd w:val="0"/>
              <w:spacing w:after="180"/>
              <w:textAlignment w:val="baseline"/>
              <w:rPr>
                <w:rFonts w:eastAsiaTheme="minorEastAsia"/>
                <w:bCs/>
                <w:lang w:eastAsia="zh-CN"/>
              </w:rPr>
            </w:pPr>
            <w:r>
              <w:rPr>
                <w:b/>
                <w:lang w:eastAsia="zh-CN"/>
              </w:rPr>
              <w:t>Agreement</w:t>
            </w:r>
            <w:r>
              <w:rPr>
                <w:lang w:eastAsia="zh-CN"/>
              </w:rPr>
              <w:t>: [</w:t>
            </w:r>
            <w:r>
              <w:rPr>
                <w:rFonts w:eastAsiaTheme="minorEastAsia"/>
                <w:bCs/>
                <w:lang w:eastAsia="zh-CN"/>
              </w:rPr>
              <w:t xml:space="preserve">0.5] dB tightening for n254 and n256, FFS for n255. n256 to be confirmed in RAN4#112. </w:t>
            </w:r>
          </w:p>
          <w:p>
            <w:pPr>
              <w:overflowPunct w:val="0"/>
              <w:autoSpaceDE w:val="0"/>
              <w:autoSpaceDN w:val="0"/>
              <w:adjustRightInd w:val="0"/>
              <w:spacing w:after="180"/>
              <w:ind w:firstLine="420"/>
              <w:textAlignment w:val="baseline"/>
              <w:rPr>
                <w:rFonts w:hint="default"/>
                <w:b/>
                <w:bCs/>
                <w:i/>
                <w:iCs/>
                <w:sz w:val="20"/>
                <w:szCs w:val="20"/>
                <w:vertAlign w:val="baseline"/>
                <w:lang w:val="en-US" w:eastAsia="zh-CN"/>
              </w:rPr>
            </w:pPr>
            <w:r>
              <w:rPr>
                <w:rFonts w:eastAsiaTheme="minorEastAsia"/>
                <w:bCs/>
                <w:lang w:eastAsia="zh-CN"/>
              </w:rPr>
              <w:t>Note: RAN4#111 maintenance agreement on n256 refsens in R4-2408787 was not considered for this agreement.</w:t>
            </w:r>
          </w:p>
        </w:tc>
      </w:tr>
    </w:tbl>
    <w:p>
      <w:pPr>
        <w:rPr>
          <w:rFonts w:hint="default"/>
          <w:sz w:val="20"/>
          <w:szCs w:val="20"/>
          <w:lang w:val="en-US" w:eastAsia="zh-CN"/>
        </w:rPr>
      </w:pPr>
      <w:r>
        <w:rPr>
          <w:rFonts w:hint="eastAsia"/>
          <w:sz w:val="20"/>
          <w:szCs w:val="20"/>
          <w:lang w:val="en-US" w:eastAsia="zh-CN"/>
        </w:rPr>
        <w:t xml:space="preserve">The above is way forward in last meeting [2], HD-FDD RedCap REFSENS for band n255 needs further discussion. For NTN bands n255, REFSENS aligns with NR bands n24 as their DL operating bands are overlapping. Regarding NR </w:t>
      </w:r>
      <w:r>
        <w:rPr>
          <w:rFonts w:ascii="Times New Roman" w:hAnsi="Times New Roman"/>
          <w:sz w:val="20"/>
          <w:szCs w:val="20"/>
        </w:rPr>
        <w:t xml:space="preserve">HD-FDD RedCap </w:t>
      </w:r>
      <w:r>
        <w:rPr>
          <w:rFonts w:hint="eastAsia"/>
          <w:sz w:val="20"/>
          <w:szCs w:val="20"/>
          <w:lang w:val="en-US" w:eastAsia="zh-CN"/>
        </w:rPr>
        <w:t xml:space="preserve">REFSENS for band n24, it was agreed to be no tightening for 5MHz channel bandwidth as the following table, which is based on the principle of a band with higher duplexer insertion loss having bigger tightening value. Considering RF front-end implementation is expected to be the same for band n255 and n24, </w:t>
      </w:r>
      <w:r>
        <w:rPr>
          <w:rFonts w:ascii="Times New Roman" w:hAnsi="Times New Roman"/>
          <w:sz w:val="20"/>
          <w:szCs w:val="20"/>
        </w:rPr>
        <w:t xml:space="preserve">HD-FDD RedCap </w:t>
      </w:r>
      <w:r>
        <w:rPr>
          <w:rFonts w:hint="eastAsia"/>
          <w:sz w:val="20"/>
          <w:szCs w:val="20"/>
          <w:lang w:val="en-US" w:eastAsia="zh-CN"/>
        </w:rPr>
        <w:t>REFSENS for band n255 should align with n24 instead of 0.5dB tighter than n24.</w:t>
      </w:r>
    </w:p>
    <w:p>
      <w:pPr>
        <w:rPr>
          <w:rFonts w:hint="eastAsia"/>
          <w:b/>
          <w:bCs/>
          <w:i w:val="0"/>
          <w:iCs w:val="0"/>
          <w:sz w:val="20"/>
          <w:szCs w:val="20"/>
          <w:lang w:val="en-US" w:eastAsia="zh-CN"/>
        </w:rPr>
      </w:pPr>
      <w:r>
        <w:rPr>
          <w:rFonts w:hint="eastAsia"/>
          <w:b/>
          <w:bCs/>
          <w:i w:val="0"/>
          <w:iCs w:val="0"/>
          <w:sz w:val="20"/>
          <w:szCs w:val="20"/>
          <w:lang w:val="en-US" w:eastAsia="zh-CN"/>
        </w:rPr>
        <w:t>Proposal 1: Considering RF front-end implementation is expected to be the same for band n255 and n24, HD-FDD RedCap REFSENS for band n255 should align with n24 instead of 0.5dB tighter than n24.</w:t>
      </w:r>
    </w:p>
    <w:p>
      <w:pPr>
        <w:pStyle w:val="56"/>
        <w:rPr>
          <w:rFonts w:hint="default" w:ascii="Times New Roman" w:hAnsi="Times New Roman" w:cs="Times New Roman"/>
          <w:sz w:val="20"/>
          <w:szCs w:val="20"/>
        </w:rPr>
      </w:pPr>
    </w:p>
    <w:p>
      <w:pPr>
        <w:pStyle w:val="56"/>
        <w:rPr>
          <w:rFonts w:hint="default"/>
          <w:sz w:val="20"/>
          <w:szCs w:val="20"/>
          <w:lang w:val="en-US"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2.1</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NR </w:t>
      </w:r>
      <w:r>
        <w:rPr>
          <w:rFonts w:hint="default" w:ascii="Times New Roman" w:hAnsi="Times New Roman" w:cs="Times New Roman"/>
          <w:sz w:val="20"/>
          <w:szCs w:val="20"/>
        </w:rPr>
        <w:t>HD-FDD 5MHz REFSENS tightening for different NR bands</w:t>
      </w:r>
    </w:p>
    <w:tbl>
      <w:tblPr>
        <w:tblStyle w:val="24"/>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2610"/>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FD-FDD 5MHz REFSENS</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HD-FDD REFSENS Tightening</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 -100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n1, n18, n24, 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&gt; -100 dBm and ≤ -99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0.5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n30, n65, n66, n74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&gt; -99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0.8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n2, n3, n5, n7, n8, n12, n13, n14, n20, n25, n26, n28, n71, n85</w:t>
            </w:r>
          </w:p>
        </w:tc>
      </w:tr>
    </w:tbl>
    <w:p>
      <w:pPr>
        <w:pStyle w:val="3"/>
        <w:numPr>
          <w:ilvl w:val="1"/>
          <w:numId w:val="0"/>
        </w:numPr>
        <w:bidi w:val="0"/>
        <w:ind w:leftChars="0" w:right="0" w:rightChars="0"/>
        <w:rPr>
          <w:rFonts w:hint="eastAsia"/>
          <w:lang w:val="en-US" w:eastAsia="zh-CN"/>
        </w:rPr>
      </w:pPr>
      <w:bookmarkStart w:id="2" w:name="OLE_LINK50"/>
      <w:bookmarkStart w:id="3" w:name="OLE_LINK23"/>
      <w:bookmarkStart w:id="4" w:name="OLE_LINK66"/>
      <w:r>
        <w:rPr>
          <w:rFonts w:hint="eastAsia"/>
          <w:lang w:val="en-US" w:eastAsia="zh-CN"/>
        </w:rPr>
        <w:t>2.2 Maximum output power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pPr>
            <w:r>
              <w:t>Issue 1-5: Maximum output power</w:t>
            </w:r>
          </w:p>
          <w:p>
            <w:pPr>
              <w:overflowPunct w:val="0"/>
              <w:autoSpaceDE w:val="0"/>
              <w:autoSpaceDN w:val="0"/>
              <w:adjustRightInd w:val="0"/>
              <w:spacing w:after="180"/>
              <w:textAlignment w:val="baseline"/>
              <w:rPr>
                <w:b/>
                <w:bCs/>
              </w:rPr>
            </w:pPr>
            <w:r>
              <w:rPr>
                <w:b/>
                <w:bCs/>
              </w:rPr>
              <w:t>options for further discussion:</w:t>
            </w:r>
          </w:p>
          <w:p>
            <w:pPr>
              <w:overflowPunct w:val="0"/>
              <w:autoSpaceDE w:val="0"/>
              <w:autoSpaceDN w:val="0"/>
              <w:adjustRightInd w:val="0"/>
              <w:spacing w:after="180"/>
              <w:textAlignment w:val="baseline"/>
            </w:pPr>
            <w:r>
              <w:t>Option 1: Consider increase in PC3 power level for NTN RedCap UE which only supports HD-FDD operation for a band.</w:t>
            </w:r>
          </w:p>
          <w:p>
            <w:pPr>
              <w:overflowPunct w:val="0"/>
              <w:autoSpaceDE w:val="0"/>
              <w:autoSpaceDN w:val="0"/>
              <w:adjustRightInd w:val="0"/>
              <w:spacing w:after="180"/>
              <w:textAlignment w:val="baseline"/>
              <w:rPr>
                <w:rFonts w:hint="default"/>
                <w:b/>
                <w:bCs/>
                <w:i/>
                <w:iCs/>
                <w:sz w:val="20"/>
                <w:szCs w:val="20"/>
                <w:vertAlign w:val="baseline"/>
                <w:lang w:val="en-US" w:eastAsia="zh-CN"/>
              </w:rPr>
            </w:pPr>
            <w:r>
              <w:t>Option 2: PC3 power level is the same for non-RedCap NR NTN UE and (e)RedCap NR NTN UE</w:t>
            </w:r>
          </w:p>
        </w:tc>
      </w:tr>
    </w:tbl>
    <w:p>
      <w:pPr>
        <w:rPr>
          <w:rFonts w:hint="default"/>
          <w:lang w:val="en-US" w:eastAsia="zh-CN"/>
        </w:rPr>
      </w:pPr>
      <w:r>
        <w:rPr>
          <w:rFonts w:hint="eastAsia"/>
          <w:lang w:val="en-US" w:eastAsia="zh-CN"/>
        </w:rPr>
        <w:t>Based on discussion in last meeting, we see the motivation of this issue is to increase high level of power class tolerance as the single-band 1Rx Refsens difference caused by using FD-FDD and HD-FDD. However, the power class tolerance is designed to address implementation issues, for example, change of output power with temperature, change of output power with battery voltage, impact of higher power class in terms of EMC issues and SAR. It doesn</w:t>
      </w:r>
      <w:r>
        <w:rPr>
          <w:rFonts w:hint="default"/>
          <w:lang w:val="en-US" w:eastAsia="zh-CN"/>
        </w:rPr>
        <w:t>’</w:t>
      </w:r>
      <w:r>
        <w:rPr>
          <w:rFonts w:hint="eastAsia"/>
          <w:lang w:val="en-US" w:eastAsia="zh-CN"/>
        </w:rPr>
        <w:t>t make sense to increase power class tolerance based on better REFSENS for HD-FDD. Hence, PC3 power level is the same for non-RedCap NR NTN UE and (e)RedCap NR NTN UE.</w:t>
      </w:r>
    </w:p>
    <w:p>
      <w:pPr>
        <w:rPr>
          <w:rFonts w:hint="eastAsia"/>
          <w:b/>
          <w:bCs/>
          <w:i w:val="0"/>
          <w:iCs w:val="0"/>
          <w:sz w:val="20"/>
          <w:szCs w:val="20"/>
          <w:lang w:val="en-US" w:eastAsia="zh-CN"/>
        </w:rPr>
      </w:pPr>
      <w:r>
        <w:rPr>
          <w:rFonts w:hint="eastAsia"/>
          <w:b/>
          <w:bCs/>
          <w:i w:val="0"/>
          <w:iCs w:val="0"/>
          <w:sz w:val="20"/>
          <w:szCs w:val="20"/>
          <w:lang w:val="en-US" w:eastAsia="zh-CN"/>
        </w:rPr>
        <w:t xml:space="preserve">Proposal 2: </w:t>
      </w:r>
      <w:bookmarkEnd w:id="2"/>
      <w:bookmarkEnd w:id="3"/>
      <w:bookmarkEnd w:id="4"/>
      <w:r>
        <w:rPr>
          <w:rFonts w:hint="eastAsia"/>
          <w:b/>
          <w:bCs/>
          <w:i w:val="0"/>
          <w:iCs w:val="0"/>
          <w:sz w:val="20"/>
          <w:szCs w:val="20"/>
          <w:lang w:val="en-US" w:eastAsia="zh-CN"/>
        </w:rPr>
        <w:t>PC3 power level is the same for non-RedCap NR NTN UE and (e)RedCap NR NTN UE.</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shared some views on UE RF requirements for NR NTN phase3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Considering RF front-end implementation is expected to be the same for band n255 and n24, HD-FDD RedCap REFSENS for band n255 should align with n24 instead of 0.5dB tighter than n24.</w:t>
      </w:r>
    </w:p>
    <w:p>
      <w:pPr>
        <w:rPr>
          <w:rFonts w:hint="eastAsia"/>
          <w:b/>
          <w:bCs/>
          <w:i w:val="0"/>
          <w:iCs w:val="0"/>
          <w:sz w:val="20"/>
          <w:szCs w:val="20"/>
          <w:lang w:val="en-US" w:eastAsia="zh-CN"/>
        </w:rPr>
      </w:pPr>
      <w:r>
        <w:rPr>
          <w:rFonts w:hint="eastAsia"/>
          <w:b/>
          <w:bCs/>
          <w:i w:val="0"/>
          <w:iCs w:val="0"/>
          <w:sz w:val="20"/>
          <w:szCs w:val="20"/>
          <w:lang w:val="en-US" w:eastAsia="zh-CN"/>
        </w:rPr>
        <w:t>Proposal 2: PC3 power level is the same for non-RedCap NR NTN UE and (e)RedCap NR NTN UE.</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RP-234078, New WID: Non-Terrestrial Networks (NTN) for NR Phase 3, Huawei</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R4-2410574</w:t>
      </w:r>
      <w:r>
        <w:rPr>
          <w:rFonts w:hint="eastAsia"/>
          <w:color w:val="auto"/>
          <w:lang w:val="en-US" w:eastAsia="zh-CN"/>
        </w:rPr>
        <w:t xml:space="preserve">, </w:t>
      </w:r>
      <w:r>
        <w:rPr>
          <w:rFonts w:hint="default"/>
          <w:color w:val="auto"/>
          <w:lang w:val="en-US" w:eastAsia="zh-CN"/>
        </w:rPr>
        <w:t>WF on Rel-19 phase 3 NR-NTN UE RF requirements</w:t>
      </w:r>
      <w:r>
        <w:rPr>
          <w:rFonts w:hint="eastAsia"/>
          <w:color w:val="auto"/>
          <w:lang w:val="en-US" w:eastAsia="zh-CN"/>
        </w:rPr>
        <w:t xml:space="preserve">, Qualcomm Inc. </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105BF"/>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A8582C"/>
    <w:rsid w:val="18B50543"/>
    <w:rsid w:val="18CA40C3"/>
    <w:rsid w:val="18CD7A02"/>
    <w:rsid w:val="18D904AC"/>
    <w:rsid w:val="18DC1AEF"/>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15470"/>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AB6B74"/>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B0688"/>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3B2C"/>
    <w:rsid w:val="2CB268EE"/>
    <w:rsid w:val="2CB600FC"/>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E4B0A"/>
    <w:rsid w:val="35866D7F"/>
    <w:rsid w:val="358F6BDF"/>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9176D"/>
    <w:rsid w:val="43CF0206"/>
    <w:rsid w:val="43D50BA1"/>
    <w:rsid w:val="43D81E7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7A5B16"/>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7C374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6B1600"/>
    <w:rsid w:val="5C6E26BF"/>
    <w:rsid w:val="5C706511"/>
    <w:rsid w:val="5C7D70D1"/>
    <w:rsid w:val="5C8542A8"/>
    <w:rsid w:val="5C93251D"/>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A3169"/>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C735C"/>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1F9130C"/>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83B1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15216"/>
    <w:rsid w:val="758849E0"/>
    <w:rsid w:val="758910BB"/>
    <w:rsid w:val="75920C70"/>
    <w:rsid w:val="75955DA9"/>
    <w:rsid w:val="759601E2"/>
    <w:rsid w:val="75977910"/>
    <w:rsid w:val="759F2A35"/>
    <w:rsid w:val="75AD4ED0"/>
    <w:rsid w:val="75B15C41"/>
    <w:rsid w:val="75CC5191"/>
    <w:rsid w:val="75CC694A"/>
    <w:rsid w:val="75D12923"/>
    <w:rsid w:val="75D173F4"/>
    <w:rsid w:val="75DF63E6"/>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2024-08-09T08:54:36Z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